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545" w:rsidRDefault="00A17545" w:rsidP="00A17545">
      <w:pPr>
        <w:pStyle w:val="FirstParagraph"/>
        <w:jc w:val="center"/>
        <w:rPr>
          <w:b/>
          <w:bCs/>
          <w:color w:val="000000" w:themeColor="text1"/>
        </w:rPr>
      </w:pPr>
      <w:bookmarkStart w:id="0" w:name="manifestation-bootcamp-day-1"/>
      <w:r>
        <w:rPr>
          <w:b/>
          <w:bCs/>
          <w:noProof/>
          <w:color w:val="000000" w:themeColor="text1"/>
        </w:rPr>
        <w:drawing>
          <wp:inline distT="0" distB="0" distL="0" distR="0" wp14:anchorId="72EA699B" wp14:editId="25E243B7">
            <wp:extent cx="5593217" cy="7915275"/>
            <wp:effectExtent l="0" t="0" r="0" b="0"/>
            <wp:docPr id="13203122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312271" name="Picture 13203122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273" cy="791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545" w:rsidRDefault="00A17545" w:rsidP="00A17545">
      <w:pPr>
        <w:pStyle w:val="FirstParagraph"/>
        <w:jc w:val="center"/>
        <w:rPr>
          <w:b/>
          <w:bCs/>
          <w:color w:val="000000" w:themeColor="text1"/>
        </w:rPr>
      </w:pPr>
    </w:p>
    <w:p w:rsidR="00446851" w:rsidRPr="00A17545" w:rsidRDefault="00000000">
      <w:pPr>
        <w:pStyle w:val="FirstParagraph"/>
        <w:rPr>
          <w:color w:val="000000" w:themeColor="text1"/>
        </w:rPr>
      </w:pPr>
      <w:r w:rsidRPr="00A17545">
        <w:rPr>
          <w:b/>
          <w:bCs/>
          <w:color w:val="000000" w:themeColor="text1"/>
        </w:rPr>
        <w:t>Concept of Self + Field of Potential</w:t>
      </w:r>
    </w:p>
    <w:p w:rsidR="00446851" w:rsidRPr="00A17545" w:rsidRDefault="00000000">
      <w:pPr>
        <w:pStyle w:val="BlockText"/>
        <w:rPr>
          <w:color w:val="000000" w:themeColor="text1"/>
        </w:rPr>
      </w:pPr>
      <w:r w:rsidRPr="00A17545">
        <w:rPr>
          <w:color w:val="000000" w:themeColor="text1"/>
        </w:rPr>
        <w:t>Use this workbook to translate today’s ideas into action. You’ll map your current self‑concept, clear conditioning, and practice cognition‑led imagination so decisions come from your future state, not your past.</w:t>
      </w:r>
    </w:p>
    <w:p w:rsidR="00446851" w:rsidRPr="00A17545" w:rsidRDefault="00802941">
      <w:pPr>
        <w:rPr>
          <w:color w:val="000000" w:themeColor="text1"/>
        </w:rPr>
      </w:pPr>
      <w:r w:rsidRPr="00802941">
        <w:rPr>
          <w:noProof/>
          <w:color w:val="000000" w:themeColor="text1"/>
        </w:rPr>
        <w:pict>
          <v:rect id="_x0000_i1030" alt="" style="width:451.3pt;height:.05pt;mso-width-percent:0;mso-height-percent:0;mso-width-percent:0;mso-height-percent:0" o:hralign="center" o:hrstd="t" o:hr="t"/>
        </w:pict>
      </w:r>
    </w:p>
    <w:p w:rsidR="00446851" w:rsidRPr="00A17545" w:rsidRDefault="00000000">
      <w:pPr>
        <w:pStyle w:val="Heading2"/>
        <w:rPr>
          <w:color w:val="000000" w:themeColor="text1"/>
        </w:rPr>
      </w:pPr>
      <w:bookmarkStart w:id="1" w:name="day-1-at-a-glance-quick-primer"/>
      <w:r w:rsidRPr="00A17545">
        <w:rPr>
          <w:color w:val="000000" w:themeColor="text1"/>
        </w:rPr>
        <w:t>1) Day 1 at a glance (quick primer)</w:t>
      </w:r>
    </w:p>
    <w:p w:rsidR="00446851" w:rsidRPr="00A17545" w:rsidRDefault="00000000">
      <w:pPr>
        <w:pStyle w:val="Compact"/>
        <w:numPr>
          <w:ilvl w:val="0"/>
          <w:numId w:val="2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Everything is frequency.</w:t>
      </w:r>
      <w:r w:rsidRPr="00A17545">
        <w:rPr>
          <w:color w:val="000000" w:themeColor="text1"/>
        </w:rPr>
        <w:t xml:space="preserve"> Your language + beliefs set the tone of your magnetic monopole (G Center), which attracts experiences.</w:t>
      </w:r>
    </w:p>
    <w:p w:rsidR="00446851" w:rsidRPr="00A17545" w:rsidRDefault="00000000">
      <w:pPr>
        <w:pStyle w:val="Compact"/>
        <w:numPr>
          <w:ilvl w:val="0"/>
          <w:numId w:val="2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Manifestation begins with a decision.</w:t>
      </w:r>
      <w:r w:rsidRPr="00A17545">
        <w:rPr>
          <w:color w:val="000000" w:themeColor="text1"/>
        </w:rPr>
        <w:t xml:space="preserve"> Decide </w:t>
      </w:r>
      <w:r w:rsidRPr="00A17545">
        <w:rPr>
          <w:i/>
          <w:iCs/>
          <w:color w:val="000000" w:themeColor="text1"/>
        </w:rPr>
        <w:t>as if it’s already done</w:t>
      </w:r>
      <w:r w:rsidRPr="00A17545">
        <w:rPr>
          <w:color w:val="000000" w:themeColor="text1"/>
        </w:rPr>
        <w:t>, then act via Strategy &amp; Authority.</w:t>
      </w:r>
    </w:p>
    <w:p w:rsidR="00446851" w:rsidRPr="00A17545" w:rsidRDefault="00000000">
      <w:pPr>
        <w:pStyle w:val="Compact"/>
        <w:numPr>
          <w:ilvl w:val="0"/>
          <w:numId w:val="2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Field of Potential</w:t>
      </w:r>
      <w:r w:rsidRPr="00A17545">
        <w:rPr>
          <w:color w:val="000000" w:themeColor="text1"/>
        </w:rPr>
        <w:t xml:space="preserve"> reflects (like a Reflector) and responds (like an Emotional MG) to your </w:t>
      </w:r>
      <w:r w:rsidRPr="00A17545">
        <w:rPr>
          <w:i/>
          <w:iCs/>
          <w:color w:val="000000" w:themeColor="text1"/>
        </w:rPr>
        <w:t>self‑concept</w:t>
      </w:r>
      <w:r w:rsidRPr="00A17545">
        <w:rPr>
          <w:color w:val="000000" w:themeColor="text1"/>
        </w:rPr>
        <w:t>.</w:t>
      </w:r>
    </w:p>
    <w:p w:rsidR="00446851" w:rsidRPr="00A17545" w:rsidRDefault="00000000">
      <w:pPr>
        <w:pStyle w:val="Compact"/>
        <w:numPr>
          <w:ilvl w:val="0"/>
          <w:numId w:val="2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Passenger / Driver / Vehicle.</w:t>
      </w:r>
      <w:r w:rsidRPr="00A17545">
        <w:rPr>
          <w:color w:val="000000" w:themeColor="text1"/>
        </w:rPr>
        <w:t xml:space="preserve"> Keep the backseat “party people” (old conditioning) from grabbing the wheel.</w:t>
      </w:r>
    </w:p>
    <w:p w:rsidR="00446851" w:rsidRPr="00A17545" w:rsidRDefault="00000000">
      <w:pPr>
        <w:pStyle w:val="Compact"/>
        <w:numPr>
          <w:ilvl w:val="0"/>
          <w:numId w:val="2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Focus beats frenzy.</w:t>
      </w:r>
      <w:r w:rsidRPr="00A17545">
        <w:rPr>
          <w:color w:val="000000" w:themeColor="text1"/>
        </w:rPr>
        <w:t xml:space="preserve"> Contract desire to </w:t>
      </w:r>
      <w:r w:rsidRPr="00A17545">
        <w:rPr>
          <w:b/>
          <w:bCs/>
          <w:color w:val="000000" w:themeColor="text1"/>
        </w:rPr>
        <w:t>one</w:t>
      </w:r>
      <w:r w:rsidRPr="00A17545">
        <w:rPr>
          <w:color w:val="000000" w:themeColor="text1"/>
        </w:rPr>
        <w:t xml:space="preserve"> lived scene/sensation (41) and surrender timing to the fates (30).</w:t>
      </w:r>
    </w:p>
    <w:p w:rsidR="00446851" w:rsidRPr="00A17545" w:rsidRDefault="00802941">
      <w:pPr>
        <w:rPr>
          <w:color w:val="000000" w:themeColor="text1"/>
        </w:rPr>
      </w:pPr>
      <w:r w:rsidRPr="00802941">
        <w:rPr>
          <w:noProof/>
          <w:color w:val="000000" w:themeColor="text1"/>
        </w:rPr>
        <w:pict>
          <v:rect id="_x0000_i1029" alt="" style="width:451.3pt;height:.05pt;mso-width-percent:0;mso-height-percent:0;mso-width-percent:0;mso-height-percent:0" o:hralign="center" o:hrstd="t" o:hr="t"/>
        </w:pict>
      </w:r>
    </w:p>
    <w:p w:rsidR="00446851" w:rsidRPr="00A17545" w:rsidRDefault="00000000">
      <w:pPr>
        <w:pStyle w:val="Heading2"/>
        <w:rPr>
          <w:color w:val="000000" w:themeColor="text1"/>
        </w:rPr>
      </w:pPr>
      <w:bookmarkStart w:id="2" w:name="vocabulary-cheatsheet"/>
      <w:bookmarkEnd w:id="1"/>
      <w:r w:rsidRPr="00A17545">
        <w:rPr>
          <w:color w:val="000000" w:themeColor="text1"/>
        </w:rPr>
        <w:t>2) Vocabulary cheat‑sheet</w:t>
      </w:r>
    </w:p>
    <w:p w:rsidR="00446851" w:rsidRPr="00A17545" w:rsidRDefault="00000000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Self‑Concept:</w:t>
      </w:r>
      <w:r w:rsidRPr="00A17545">
        <w:rPr>
          <w:color w:val="000000" w:themeColor="text1"/>
        </w:rPr>
        <w:t xml:space="preserve"> The story you hold about who you are &amp; what’s possible.</w:t>
      </w:r>
    </w:p>
    <w:p w:rsidR="00446851" w:rsidRPr="00A17545" w:rsidRDefault="00000000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Conditioning:</w:t>
      </w:r>
      <w:r w:rsidRPr="00A17545">
        <w:rPr>
          <w:color w:val="000000" w:themeColor="text1"/>
        </w:rPr>
        <w:t xml:space="preserve"> Adopted opinions/beliefs lodged in your subconscious; often speaks in limiting “truths.”</w:t>
      </w:r>
    </w:p>
    <w:p w:rsidR="00446851" w:rsidRPr="00A17545" w:rsidRDefault="00000000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Magnetic Monopole (Gate 2):</w:t>
      </w:r>
      <w:r w:rsidRPr="00A17545">
        <w:rPr>
          <w:color w:val="000000" w:themeColor="text1"/>
        </w:rPr>
        <w:t xml:space="preserve"> The inner GPS that holds you together and attracts experience by frequency.</w:t>
      </w:r>
    </w:p>
    <w:p w:rsidR="00446851" w:rsidRPr="00A17545" w:rsidRDefault="00000000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Cognition (Tone):</w:t>
      </w:r>
      <w:r w:rsidRPr="00A17545">
        <w:rPr>
          <w:color w:val="000000" w:themeColor="text1"/>
        </w:rPr>
        <w:t xml:space="preserve"> Your primary sense for knowing (Taste, Smell, Inner Vision, Outer Vision, Feeling, Touch).</w:t>
      </w:r>
    </w:p>
    <w:p w:rsidR="00446851" w:rsidRPr="00A17545" w:rsidRDefault="00802941">
      <w:pPr>
        <w:rPr>
          <w:color w:val="000000" w:themeColor="text1"/>
        </w:rPr>
      </w:pPr>
      <w:r w:rsidRPr="00802941">
        <w:rPr>
          <w:noProof/>
          <w:color w:val="000000" w:themeColor="text1"/>
        </w:rPr>
        <w:pict>
          <v:rect id="_x0000_i1028" alt="" style="width:451.3pt;height:.05pt;mso-width-percent:0;mso-height-percent:0;mso-width-percent:0;mso-height-percent:0" o:hralign="center" o:hrstd="t" o:hr="t"/>
        </w:pict>
      </w:r>
    </w:p>
    <w:p w:rsidR="00446851" w:rsidRPr="00A17545" w:rsidRDefault="00000000">
      <w:pPr>
        <w:pStyle w:val="Heading2"/>
        <w:rPr>
          <w:color w:val="000000" w:themeColor="text1"/>
        </w:rPr>
      </w:pPr>
      <w:bookmarkStart w:id="3" w:name="prework-selfscan-circle-one-per-line"/>
      <w:bookmarkEnd w:id="2"/>
      <w:r w:rsidRPr="00A17545">
        <w:rPr>
          <w:color w:val="000000" w:themeColor="text1"/>
        </w:rPr>
        <w:t>3) Pre‑work self‑scan (circle one per line)</w:t>
      </w:r>
    </w:p>
    <w:p w:rsidR="00446851" w:rsidRPr="00A17545" w:rsidRDefault="00000000">
      <w:pPr>
        <w:pStyle w:val="FirstParagraph"/>
        <w:rPr>
          <w:color w:val="000000" w:themeColor="text1"/>
        </w:rPr>
      </w:pPr>
      <w:r w:rsidRPr="00A17545">
        <w:rPr>
          <w:b/>
          <w:bCs/>
          <w:color w:val="000000" w:themeColor="text1"/>
        </w:rPr>
        <w:t>Energy toward goal today:</w:t>
      </w:r>
      <w:r w:rsidRPr="00A17545">
        <w:rPr>
          <w:color w:val="000000" w:themeColor="text1"/>
        </w:rPr>
        <w:t xml:space="preserve"> flat — 1 2 3 4 5 6 7 8 9 10 — alive</w:t>
      </w:r>
      <w:r w:rsidRPr="00A17545">
        <w:rPr>
          <w:color w:val="000000" w:themeColor="text1"/>
        </w:rPr>
        <w:br/>
      </w:r>
      <w:r w:rsidRPr="00A17545">
        <w:rPr>
          <w:b/>
          <w:bCs/>
          <w:color w:val="000000" w:themeColor="text1"/>
        </w:rPr>
        <w:t>Self‑talk tone:</w:t>
      </w:r>
      <w:r w:rsidRPr="00A17545">
        <w:rPr>
          <w:color w:val="000000" w:themeColor="text1"/>
        </w:rPr>
        <w:t xml:space="preserve"> harsh — 1 2 3 4 5 6 7 8 9 10 — supportive</w:t>
      </w:r>
      <w:r w:rsidRPr="00A17545">
        <w:rPr>
          <w:color w:val="000000" w:themeColor="text1"/>
        </w:rPr>
        <w:br/>
      </w:r>
      <w:r w:rsidRPr="00A17545">
        <w:rPr>
          <w:b/>
          <w:bCs/>
          <w:color w:val="000000" w:themeColor="text1"/>
        </w:rPr>
        <w:t>Decision source lately:</w:t>
      </w:r>
      <w:r w:rsidRPr="00A17545">
        <w:rPr>
          <w:color w:val="000000" w:themeColor="text1"/>
        </w:rPr>
        <w:t xml:space="preserve"> outer pressure — 1 2 3 4 5 6 7 8 9 10 — Strategy/Authority</w:t>
      </w:r>
      <w:r w:rsidRPr="00A17545">
        <w:rPr>
          <w:color w:val="000000" w:themeColor="text1"/>
        </w:rPr>
        <w:br/>
      </w:r>
      <w:r w:rsidRPr="00A17545">
        <w:rPr>
          <w:b/>
          <w:bCs/>
          <w:color w:val="000000" w:themeColor="text1"/>
        </w:rPr>
        <w:t>Focus:</w:t>
      </w:r>
      <w:r w:rsidRPr="00A17545">
        <w:rPr>
          <w:color w:val="000000" w:themeColor="text1"/>
        </w:rPr>
        <w:t xml:space="preserve"> scattered (many goals) — 1 2 3 4 5 6 7 8 9 10 — one clear scene</w:t>
      </w:r>
    </w:p>
    <w:p w:rsidR="00446851" w:rsidRPr="00A17545" w:rsidRDefault="00446851">
      <w:pPr>
        <w:rPr>
          <w:color w:val="000000" w:themeColor="text1"/>
        </w:rPr>
      </w:pPr>
    </w:p>
    <w:p w:rsidR="00446851" w:rsidRPr="00A17545" w:rsidRDefault="00000000">
      <w:pPr>
        <w:pStyle w:val="Heading2"/>
        <w:rPr>
          <w:color w:val="000000" w:themeColor="text1"/>
        </w:rPr>
      </w:pPr>
      <w:bookmarkStart w:id="4" w:name="conceptofself-audit"/>
      <w:bookmarkEnd w:id="3"/>
      <w:r w:rsidRPr="00A17545">
        <w:rPr>
          <w:color w:val="000000" w:themeColor="text1"/>
        </w:rPr>
        <w:lastRenderedPageBreak/>
        <w:t>4) Concept‑of‑Self audit</w:t>
      </w:r>
    </w:p>
    <w:p w:rsidR="00446851" w:rsidRPr="00A17545" w:rsidRDefault="00000000">
      <w:pPr>
        <w:pStyle w:val="FirstParagraph"/>
        <w:rPr>
          <w:color w:val="000000" w:themeColor="text1"/>
        </w:rPr>
      </w:pPr>
      <w:r w:rsidRPr="00A17545">
        <w:rPr>
          <w:b/>
          <w:bCs/>
          <w:color w:val="000000" w:themeColor="text1"/>
        </w:rPr>
        <w:t>Prompt A – Current story</w:t>
      </w:r>
      <w:r w:rsidRPr="00A17545">
        <w:rPr>
          <w:color w:val="000000" w:themeColor="text1"/>
        </w:rPr>
        <w:br/>
        <w:t xml:space="preserve">Write three sentences you </w:t>
      </w:r>
      <w:r w:rsidRPr="00A17545">
        <w:rPr>
          <w:i/>
          <w:iCs/>
          <w:color w:val="000000" w:themeColor="text1"/>
        </w:rPr>
        <w:t>actually</w:t>
      </w:r>
      <w:r w:rsidRPr="00A17545">
        <w:rPr>
          <w:color w:val="000000" w:themeColor="text1"/>
        </w:rPr>
        <w:t xml:space="preserve"> think/say about this goal (money, clients, relationship, health, etc.): - 1) - 2) - 3)</w:t>
      </w:r>
    </w:p>
    <w:p w:rsidR="00446851" w:rsidRPr="00A17545" w:rsidRDefault="00000000">
      <w:pPr>
        <w:pStyle w:val="BodyText"/>
        <w:rPr>
          <w:color w:val="000000" w:themeColor="text1"/>
        </w:rPr>
      </w:pPr>
      <w:r w:rsidRPr="00A17545">
        <w:rPr>
          <w:b/>
          <w:bCs/>
          <w:color w:val="000000" w:themeColor="text1"/>
        </w:rPr>
        <w:t>Prompt B – Source check</w:t>
      </w:r>
      <w:r w:rsidRPr="00A17545">
        <w:rPr>
          <w:color w:val="000000" w:themeColor="text1"/>
        </w:rPr>
        <w:t xml:space="preserve"> (Where did each come from? Parent, teacher, boss, culture, past you?) - 1) - 2) - 3)</w:t>
      </w:r>
    </w:p>
    <w:p w:rsidR="00446851" w:rsidRPr="00A17545" w:rsidRDefault="00000000">
      <w:pPr>
        <w:pStyle w:val="BodyText"/>
        <w:rPr>
          <w:color w:val="000000" w:themeColor="text1"/>
        </w:rPr>
      </w:pPr>
      <w:r w:rsidRPr="00A17545">
        <w:rPr>
          <w:b/>
          <w:bCs/>
          <w:color w:val="000000" w:themeColor="text1"/>
        </w:rPr>
        <w:t>Prompt C – Evidence breaker</w:t>
      </w:r>
      <w:r w:rsidRPr="00A17545">
        <w:rPr>
          <w:color w:val="000000" w:themeColor="text1"/>
        </w:rPr>
        <w:t xml:space="preserve"> (List one counter‑fact for each): - 1) - 2) - 3)</w:t>
      </w:r>
    </w:p>
    <w:p w:rsidR="00446851" w:rsidRPr="00A17545" w:rsidRDefault="00000000">
      <w:pPr>
        <w:pStyle w:val="BodyText"/>
        <w:rPr>
          <w:color w:val="000000" w:themeColor="text1"/>
        </w:rPr>
      </w:pPr>
      <w:r w:rsidRPr="00A17545">
        <w:rPr>
          <w:b/>
          <w:bCs/>
          <w:color w:val="000000" w:themeColor="text1"/>
        </w:rPr>
        <w:t>Prompt D – Chosen identity</w:t>
      </w:r>
      <w:r w:rsidRPr="00A17545">
        <w:rPr>
          <w:color w:val="000000" w:themeColor="text1"/>
        </w:rPr>
        <w:t xml:space="preserve"> (Future‑you who already lives it): - I am the person who… - My work/relationships feel… - People experience me as…</w:t>
      </w:r>
    </w:p>
    <w:p w:rsidR="00446851" w:rsidRPr="00A17545" w:rsidRDefault="00446851">
      <w:pPr>
        <w:rPr>
          <w:color w:val="000000" w:themeColor="text1"/>
        </w:rPr>
      </w:pPr>
    </w:p>
    <w:p w:rsidR="00446851" w:rsidRPr="00A17545" w:rsidRDefault="00000000">
      <w:pPr>
        <w:pStyle w:val="Heading2"/>
        <w:rPr>
          <w:color w:val="000000" w:themeColor="text1"/>
        </w:rPr>
      </w:pPr>
      <w:bookmarkStart w:id="5" w:name="deconditioning-map-belief-new-directive"/>
      <w:bookmarkEnd w:id="4"/>
      <w:r w:rsidRPr="00A17545">
        <w:rPr>
          <w:color w:val="000000" w:themeColor="text1"/>
        </w:rPr>
        <w:t>5) Deconditioning map (belief → new directive)</w:t>
      </w:r>
    </w:p>
    <w:p w:rsidR="00446851" w:rsidRPr="00A17545" w:rsidRDefault="00000000">
      <w:pPr>
        <w:pStyle w:val="FirstParagraph"/>
        <w:rPr>
          <w:color w:val="000000" w:themeColor="text1"/>
        </w:rPr>
      </w:pPr>
      <w:r w:rsidRPr="00A17545">
        <w:rPr>
          <w:color w:val="000000" w:themeColor="text1"/>
        </w:rPr>
        <w:t xml:space="preserve">Use this mini‑pipeline to rewrite one stubborn belief. - </w:t>
      </w:r>
      <w:r w:rsidRPr="00A17545">
        <w:rPr>
          <w:b/>
          <w:bCs/>
          <w:color w:val="000000" w:themeColor="text1"/>
        </w:rPr>
        <w:t>Old belief:</w:t>
      </w:r>
      <w:r w:rsidRPr="00A17545">
        <w:rPr>
          <w:color w:val="000000" w:themeColor="text1"/>
        </w:rPr>
        <w:t xml:space="preserve"> - </w:t>
      </w:r>
      <w:r w:rsidRPr="00A17545">
        <w:rPr>
          <w:b/>
          <w:bCs/>
          <w:color w:val="000000" w:themeColor="text1"/>
        </w:rPr>
        <w:t>How it protects me / payoff:</w:t>
      </w:r>
      <w:r w:rsidRPr="00A17545">
        <w:rPr>
          <w:color w:val="000000" w:themeColor="text1"/>
        </w:rPr>
        <w:t xml:space="preserve"> - </w:t>
      </w:r>
      <w:r w:rsidRPr="00A17545">
        <w:rPr>
          <w:b/>
          <w:bCs/>
          <w:color w:val="000000" w:themeColor="text1"/>
        </w:rPr>
        <w:t>Cost if I keep it:</w:t>
      </w:r>
      <w:r w:rsidRPr="00A17545">
        <w:rPr>
          <w:color w:val="000000" w:themeColor="text1"/>
        </w:rPr>
        <w:t xml:space="preserve"> - </w:t>
      </w:r>
      <w:r w:rsidRPr="00A17545">
        <w:rPr>
          <w:b/>
          <w:bCs/>
          <w:color w:val="000000" w:themeColor="text1"/>
        </w:rPr>
        <w:t>New directive (clear, kind, present‑tense):</w:t>
      </w:r>
      <w:r w:rsidRPr="00A17545">
        <w:rPr>
          <w:color w:val="000000" w:themeColor="text1"/>
        </w:rPr>
        <w:t xml:space="preserve"> - </w:t>
      </w:r>
      <w:r w:rsidRPr="00A17545">
        <w:rPr>
          <w:b/>
          <w:bCs/>
          <w:color w:val="000000" w:themeColor="text1"/>
        </w:rPr>
        <w:t>Proof I can gather this week:</w:t>
      </w:r>
    </w:p>
    <w:p w:rsidR="00446851" w:rsidRPr="00A17545" w:rsidRDefault="00000000">
      <w:pPr>
        <w:pStyle w:val="BlockText"/>
        <w:rPr>
          <w:color w:val="000000" w:themeColor="text1"/>
        </w:rPr>
      </w:pPr>
      <w:r w:rsidRPr="00A17545">
        <w:rPr>
          <w:color w:val="000000" w:themeColor="text1"/>
        </w:rPr>
        <w:t>Tip: Keep your language non‑harmful (Gate 26) and self‑leading (Gate 10). Speak to yourself like an ally.</w:t>
      </w:r>
    </w:p>
    <w:p w:rsidR="00446851" w:rsidRPr="00A17545" w:rsidRDefault="00446851">
      <w:pPr>
        <w:rPr>
          <w:color w:val="000000" w:themeColor="text1"/>
        </w:rPr>
      </w:pPr>
    </w:p>
    <w:p w:rsidR="00446851" w:rsidRPr="00A17545" w:rsidRDefault="00000000">
      <w:pPr>
        <w:pStyle w:val="Heading2"/>
        <w:rPr>
          <w:color w:val="000000" w:themeColor="text1"/>
        </w:rPr>
      </w:pPr>
      <w:bookmarkStart w:id="6" w:name="X83d72017c4e946a0e1ba4ab25f768ffd9f8042d"/>
      <w:bookmarkEnd w:id="5"/>
      <w:r w:rsidRPr="00A17545">
        <w:rPr>
          <w:color w:val="000000" w:themeColor="text1"/>
        </w:rPr>
        <w:t>6) Cognition‑led imagination lab (choose your Tone)</w:t>
      </w:r>
    </w:p>
    <w:p w:rsidR="00446851" w:rsidRPr="00A17545" w:rsidRDefault="00000000">
      <w:pPr>
        <w:pStyle w:val="FirstParagraph"/>
        <w:rPr>
          <w:color w:val="000000" w:themeColor="text1"/>
        </w:rPr>
      </w:pPr>
      <w:r w:rsidRPr="00A17545">
        <w:rPr>
          <w:color w:val="000000" w:themeColor="text1"/>
        </w:rPr>
        <w:t xml:space="preserve">Pick the box that matches your </w:t>
      </w:r>
      <w:r w:rsidRPr="00A17545">
        <w:rPr>
          <w:b/>
          <w:bCs/>
          <w:color w:val="000000" w:themeColor="text1"/>
        </w:rPr>
        <w:t>cognition</w:t>
      </w:r>
      <w:r w:rsidRPr="00A17545">
        <w:rPr>
          <w:color w:val="000000" w:themeColor="text1"/>
        </w:rPr>
        <w:t xml:space="preserve"> and immerse in a single future scene. Keep eyes open for Outer Vision; eyes closed or soft focus for others. </w:t>
      </w:r>
      <w:r w:rsidRPr="00A17545">
        <w:rPr>
          <w:b/>
          <w:bCs/>
          <w:color w:val="000000" w:themeColor="text1"/>
        </w:rPr>
        <w:t>Live it for 2–3 minutes.</w:t>
      </w:r>
    </w:p>
    <w:p w:rsidR="00446851" w:rsidRPr="00A17545" w:rsidRDefault="00000000">
      <w:pPr>
        <w:pStyle w:val="Compact"/>
        <w:numPr>
          <w:ilvl w:val="0"/>
          <w:numId w:val="4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Taste:</w:t>
      </w:r>
      <w:r w:rsidRPr="00A17545">
        <w:rPr>
          <w:color w:val="000000" w:themeColor="text1"/>
        </w:rPr>
        <w:t xml:space="preserve"> What does success </w:t>
      </w:r>
      <w:r w:rsidRPr="00A17545">
        <w:rPr>
          <w:i/>
          <w:iCs/>
          <w:color w:val="000000" w:themeColor="text1"/>
        </w:rPr>
        <w:t>taste</w:t>
      </w:r>
      <w:r w:rsidRPr="00A17545">
        <w:rPr>
          <w:color w:val="000000" w:themeColor="text1"/>
        </w:rPr>
        <w:t xml:space="preserve"> like here? First sip/first bite? Describe textures/flavors.</w:t>
      </w:r>
    </w:p>
    <w:p w:rsidR="00446851" w:rsidRPr="00A17545" w:rsidRDefault="00000000">
      <w:pPr>
        <w:pStyle w:val="Compact"/>
        <w:numPr>
          <w:ilvl w:val="0"/>
          <w:numId w:val="5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Smell:</w:t>
      </w:r>
      <w:r w:rsidRPr="00A17545">
        <w:rPr>
          <w:color w:val="000000" w:themeColor="text1"/>
        </w:rPr>
        <w:t xml:space="preserve"> What scents confirm it’s real (room, air, paper, gear, flowers, ocean, backstage)?</w:t>
      </w:r>
    </w:p>
    <w:p w:rsidR="00446851" w:rsidRPr="00A17545" w:rsidRDefault="00000000">
      <w:pPr>
        <w:pStyle w:val="Compact"/>
        <w:numPr>
          <w:ilvl w:val="0"/>
          <w:numId w:val="6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Inner Vision:</w:t>
      </w:r>
      <w:r w:rsidRPr="00A17545">
        <w:rPr>
          <w:color w:val="000000" w:themeColor="text1"/>
        </w:rPr>
        <w:t xml:space="preserve"> See the scene inside your mind. Colors, light, the exact moment you know “it’s done.”</w:t>
      </w:r>
    </w:p>
    <w:p w:rsidR="00446851" w:rsidRPr="00A17545" w:rsidRDefault="00000000">
      <w:pPr>
        <w:pStyle w:val="Compact"/>
        <w:numPr>
          <w:ilvl w:val="0"/>
          <w:numId w:val="7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Outer Vision:</w:t>
      </w:r>
      <w:r w:rsidRPr="00A17545">
        <w:rPr>
          <w:color w:val="000000" w:themeColor="text1"/>
        </w:rPr>
        <w:t xml:space="preserve"> Keep eyes open. Arrange a beautiful setting; let the room </w:t>
      </w:r>
      <w:r w:rsidRPr="00A17545">
        <w:rPr>
          <w:i/>
          <w:iCs/>
          <w:color w:val="000000" w:themeColor="text1"/>
        </w:rPr>
        <w:t>show</w:t>
      </w:r>
      <w:r w:rsidRPr="00A17545">
        <w:rPr>
          <w:color w:val="000000" w:themeColor="text1"/>
        </w:rPr>
        <w:t xml:space="preserve"> you it’s real.</w:t>
      </w:r>
    </w:p>
    <w:p w:rsidR="00446851" w:rsidRPr="00A17545" w:rsidRDefault="00000000">
      <w:pPr>
        <w:pStyle w:val="Compact"/>
        <w:numPr>
          <w:ilvl w:val="0"/>
          <w:numId w:val="8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Feeling:</w:t>
      </w:r>
      <w:r w:rsidRPr="00A17545">
        <w:rPr>
          <w:color w:val="000000" w:themeColor="text1"/>
        </w:rPr>
        <w:t xml:space="preserve"> Where in your body do you feel it? Temperature, weight, pulse, goosebumps.</w:t>
      </w:r>
    </w:p>
    <w:p w:rsidR="00446851" w:rsidRPr="00A17545" w:rsidRDefault="00000000">
      <w:pPr>
        <w:pStyle w:val="Compact"/>
        <w:numPr>
          <w:ilvl w:val="0"/>
          <w:numId w:val="9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Touch:</w:t>
      </w:r>
      <w:r w:rsidRPr="00A17545">
        <w:rPr>
          <w:color w:val="000000" w:themeColor="text1"/>
        </w:rPr>
        <w:t xml:space="preserve"> What are your hands on? Keyboard, mic, steering wheel, door handle, fabric. Texture details.</w:t>
      </w:r>
    </w:p>
    <w:p w:rsidR="00446851" w:rsidRPr="00A17545" w:rsidRDefault="00000000">
      <w:pPr>
        <w:pStyle w:val="FirstParagraph"/>
        <w:rPr>
          <w:color w:val="000000" w:themeColor="text1"/>
        </w:rPr>
      </w:pPr>
      <w:r w:rsidRPr="00A17545">
        <w:rPr>
          <w:b/>
          <w:bCs/>
          <w:color w:val="000000" w:themeColor="text1"/>
        </w:rPr>
        <w:t>Anchor sentence (say aloud):</w:t>
      </w:r>
      <w:r w:rsidRPr="00A17545">
        <w:rPr>
          <w:color w:val="000000" w:themeColor="text1"/>
        </w:rPr>
        <w:br/>
        <w:t xml:space="preserve">“Because I </w:t>
      </w:r>
      <w:r w:rsidRPr="00A17545">
        <w:rPr>
          <w:i/>
          <w:iCs/>
          <w:color w:val="000000" w:themeColor="text1"/>
        </w:rPr>
        <w:t>am</w:t>
      </w:r>
      <w:r w:rsidRPr="00A17545">
        <w:rPr>
          <w:color w:val="000000" w:themeColor="text1"/>
        </w:rPr>
        <w:t xml:space="preserve"> [identity], I’m experiencing [one vivid sensation].”</w:t>
      </w:r>
    </w:p>
    <w:p w:rsidR="00446851" w:rsidRPr="00A17545" w:rsidRDefault="00802941">
      <w:pPr>
        <w:rPr>
          <w:color w:val="000000" w:themeColor="text1"/>
        </w:rPr>
      </w:pPr>
      <w:r w:rsidRPr="00802941">
        <w:rPr>
          <w:noProof/>
          <w:color w:val="000000" w:themeColor="text1"/>
        </w:rPr>
        <w:lastRenderedPageBreak/>
        <w:pict>
          <v:rect id="_x0000_i1027" alt="" style="width:451.3pt;height:.05pt;mso-width-percent:0;mso-height-percent:0;mso-width-percent:0;mso-height-percent:0" o:hralign="center" o:hrstd="t" o:hr="t"/>
        </w:pict>
      </w:r>
    </w:p>
    <w:p w:rsidR="00446851" w:rsidRPr="00A17545" w:rsidRDefault="00000000">
      <w:pPr>
        <w:pStyle w:val="Heading2"/>
        <w:rPr>
          <w:color w:val="000000" w:themeColor="text1"/>
        </w:rPr>
      </w:pPr>
      <w:bookmarkStart w:id="7" w:name="Xe92f765491c96292ffed35cc53b6797bec379ad"/>
      <w:bookmarkEnd w:id="6"/>
      <w:r w:rsidRPr="00A17545">
        <w:rPr>
          <w:color w:val="000000" w:themeColor="text1"/>
        </w:rPr>
        <w:t>7) Future‑Self decision drill (act from ‘already done’)</w:t>
      </w:r>
    </w:p>
    <w:p w:rsidR="00446851" w:rsidRPr="00A17545" w:rsidRDefault="00000000">
      <w:pPr>
        <w:pStyle w:val="FirstParagraph"/>
        <w:rPr>
          <w:color w:val="000000" w:themeColor="text1"/>
        </w:rPr>
      </w:pPr>
      <w:r w:rsidRPr="00A17545">
        <w:rPr>
          <w:color w:val="000000" w:themeColor="text1"/>
        </w:rPr>
        <w:t xml:space="preserve">Pick </w:t>
      </w:r>
      <w:r w:rsidRPr="00A17545">
        <w:rPr>
          <w:b/>
          <w:bCs/>
          <w:color w:val="000000" w:themeColor="text1"/>
        </w:rPr>
        <w:t>one domain</w:t>
      </w:r>
      <w:r w:rsidRPr="00A17545">
        <w:rPr>
          <w:color w:val="000000" w:themeColor="text1"/>
        </w:rPr>
        <w:t>: ☐ Business ☐ Relationships ☐ Wellbeing ☐ Money</w:t>
      </w:r>
      <w:r w:rsidRPr="00A17545">
        <w:rPr>
          <w:color w:val="000000" w:themeColor="text1"/>
        </w:rPr>
        <w:br/>
      </w:r>
      <w:r w:rsidRPr="00A17545">
        <w:rPr>
          <w:b/>
          <w:bCs/>
          <w:color w:val="000000" w:themeColor="text1"/>
        </w:rPr>
        <w:t>Future state (one line):</w:t>
      </w:r>
    </w:p>
    <w:p w:rsidR="00446851" w:rsidRPr="00A17545" w:rsidRDefault="00000000">
      <w:pPr>
        <w:pStyle w:val="BodyText"/>
        <w:rPr>
          <w:color w:val="000000" w:themeColor="text1"/>
        </w:rPr>
      </w:pPr>
      <w:r w:rsidRPr="00A17545">
        <w:rPr>
          <w:b/>
          <w:bCs/>
          <w:color w:val="000000" w:themeColor="text1"/>
        </w:rPr>
        <w:t>Today’s decision, made as that person:</w:t>
      </w:r>
      <w:r w:rsidRPr="00A17545">
        <w:rPr>
          <w:color w:val="000000" w:themeColor="text1"/>
        </w:rPr>
        <w:br/>
        <w:t xml:space="preserve">- </w:t>
      </w:r>
      <w:r w:rsidRPr="00A17545">
        <w:rPr>
          <w:b/>
          <w:bCs/>
          <w:color w:val="000000" w:themeColor="text1"/>
        </w:rPr>
        <w:t>Who</w:t>
      </w:r>
      <w:r w:rsidRPr="00A17545">
        <w:rPr>
          <w:color w:val="000000" w:themeColor="text1"/>
        </w:rPr>
        <w:t xml:space="preserve"> am I being as I decide?</w:t>
      </w:r>
      <w:r w:rsidRPr="00A17545">
        <w:rPr>
          <w:color w:val="000000" w:themeColor="text1"/>
        </w:rPr>
        <w:br/>
        <w:t xml:space="preserve">- </w:t>
      </w:r>
      <w:r w:rsidRPr="00A17545">
        <w:rPr>
          <w:b/>
          <w:bCs/>
          <w:color w:val="000000" w:themeColor="text1"/>
        </w:rPr>
        <w:t>What</w:t>
      </w:r>
      <w:r w:rsidRPr="00A17545">
        <w:rPr>
          <w:color w:val="000000" w:themeColor="text1"/>
        </w:rPr>
        <w:t xml:space="preserve"> exact action do I take in the next 24 hours?</w:t>
      </w:r>
      <w:r w:rsidRPr="00A17545">
        <w:rPr>
          <w:color w:val="000000" w:themeColor="text1"/>
        </w:rPr>
        <w:br/>
        <w:t xml:space="preserve">- </w:t>
      </w:r>
      <w:r w:rsidRPr="00A17545">
        <w:rPr>
          <w:b/>
          <w:bCs/>
          <w:color w:val="000000" w:themeColor="text1"/>
        </w:rPr>
        <w:t>Why</w:t>
      </w:r>
      <w:r w:rsidRPr="00A17545">
        <w:rPr>
          <w:color w:val="000000" w:themeColor="text1"/>
        </w:rPr>
        <w:t xml:space="preserve"> (value/principle behind it)?</w:t>
      </w:r>
    </w:p>
    <w:p w:rsidR="00446851" w:rsidRPr="00A17545" w:rsidRDefault="00000000">
      <w:pPr>
        <w:pStyle w:val="BodyText"/>
        <w:rPr>
          <w:color w:val="000000" w:themeColor="text1"/>
        </w:rPr>
      </w:pPr>
      <w:r w:rsidRPr="00A17545">
        <w:rPr>
          <w:b/>
          <w:bCs/>
          <w:color w:val="000000" w:themeColor="text1"/>
        </w:rPr>
        <w:t>Strategy &amp; Authority checkpoint:</w:t>
      </w:r>
      <w:r w:rsidRPr="00A17545">
        <w:rPr>
          <w:color w:val="000000" w:themeColor="text1"/>
        </w:rPr>
        <w:br/>
        <w:t>Describe how you’ll run this decision through your S&amp;A before acting:</w:t>
      </w:r>
    </w:p>
    <w:p w:rsidR="00446851" w:rsidRPr="00A17545" w:rsidRDefault="00446851">
      <w:pPr>
        <w:rPr>
          <w:color w:val="000000" w:themeColor="text1"/>
        </w:rPr>
      </w:pPr>
    </w:p>
    <w:p w:rsidR="00446851" w:rsidRPr="00A17545" w:rsidRDefault="00000000">
      <w:pPr>
        <w:pStyle w:val="Heading2"/>
        <w:rPr>
          <w:color w:val="000000" w:themeColor="text1"/>
        </w:rPr>
      </w:pPr>
      <w:bookmarkStart w:id="8" w:name="X97021ed589878bf9c77c68576d51fcc4443061d"/>
      <w:bookmarkEnd w:id="7"/>
      <w:r w:rsidRPr="00A17545">
        <w:rPr>
          <w:color w:val="000000" w:themeColor="text1"/>
        </w:rPr>
        <w:t>8) Monopole alignment – Language &amp; frequency tuner</w:t>
      </w:r>
    </w:p>
    <w:p w:rsidR="00446851" w:rsidRPr="00A17545" w:rsidRDefault="00000000">
      <w:pPr>
        <w:pStyle w:val="FirstParagraph"/>
        <w:rPr>
          <w:color w:val="000000" w:themeColor="text1"/>
        </w:rPr>
      </w:pPr>
      <w:r w:rsidRPr="00A17545">
        <w:rPr>
          <w:b/>
          <w:bCs/>
          <w:color w:val="000000" w:themeColor="text1"/>
        </w:rPr>
        <w:t>Scan your speech for 60 seconds.</w:t>
      </w:r>
      <w:r w:rsidRPr="00A17545">
        <w:rPr>
          <w:color w:val="000000" w:themeColor="text1"/>
        </w:rPr>
        <w:t xml:space="preserve"> Jot 3 phrases you catch: 1) 2) 3)</w:t>
      </w:r>
    </w:p>
    <w:p w:rsidR="00446851" w:rsidRPr="00A17545" w:rsidRDefault="00000000">
      <w:pPr>
        <w:pStyle w:val="BodyText"/>
        <w:rPr>
          <w:color w:val="000000" w:themeColor="text1"/>
        </w:rPr>
      </w:pPr>
      <w:r w:rsidRPr="00A17545">
        <w:rPr>
          <w:b/>
          <w:bCs/>
          <w:color w:val="000000" w:themeColor="text1"/>
        </w:rPr>
        <w:t>Upgrade them into frequency‑clean statements:</w:t>
      </w:r>
      <w:r w:rsidRPr="00A17545">
        <w:rPr>
          <w:color w:val="000000" w:themeColor="text1"/>
        </w:rPr>
        <w:br/>
        <w:t>(“I am…”, “</w:t>
      </w:r>
      <w:proofErr w:type="gramStart"/>
      <w:r w:rsidRPr="00A17545">
        <w:rPr>
          <w:color w:val="000000" w:themeColor="text1"/>
        </w:rPr>
        <w:t>Clients</w:t>
      </w:r>
      <w:proofErr w:type="gramEnd"/>
      <w:r w:rsidRPr="00A17545">
        <w:rPr>
          <w:color w:val="000000" w:themeColor="text1"/>
        </w:rPr>
        <w:t xml:space="preserve"> love…”, “Money is…”) 1) 2) 3)</w:t>
      </w:r>
    </w:p>
    <w:p w:rsidR="00446851" w:rsidRPr="00A17545" w:rsidRDefault="00000000">
      <w:pPr>
        <w:pStyle w:val="BodyText"/>
        <w:rPr>
          <w:color w:val="000000" w:themeColor="text1"/>
        </w:rPr>
      </w:pPr>
      <w:r w:rsidRPr="00A17545">
        <w:rPr>
          <w:b/>
          <w:bCs/>
          <w:color w:val="000000" w:themeColor="text1"/>
        </w:rPr>
        <w:t>Activation statement (read morning/night):</w:t>
      </w:r>
      <w:r w:rsidRPr="00A17545">
        <w:rPr>
          <w:color w:val="000000" w:themeColor="text1"/>
        </w:rPr>
        <w:br/>
        <w:t>“I am [identity]. I move like [value]. I decide from [Strategy/Authority]. It is done.”</w:t>
      </w:r>
    </w:p>
    <w:p w:rsidR="00446851" w:rsidRPr="00A17545" w:rsidRDefault="00802941">
      <w:pPr>
        <w:rPr>
          <w:color w:val="000000" w:themeColor="text1"/>
        </w:rPr>
      </w:pPr>
      <w:r w:rsidRPr="00802941">
        <w:rPr>
          <w:noProof/>
          <w:color w:val="000000" w:themeColor="text1"/>
        </w:rPr>
        <w:pict>
          <v:rect id="_x0000_i1026" alt="" style="width:451.3pt;height:.05pt;mso-width-percent:0;mso-height-percent:0;mso-width-percent:0;mso-height-percent:0" o:hralign="center" o:hrstd="t" o:hr="t"/>
        </w:pict>
      </w:r>
    </w:p>
    <w:p w:rsidR="00446851" w:rsidRPr="00A17545" w:rsidRDefault="00000000">
      <w:pPr>
        <w:pStyle w:val="Heading2"/>
        <w:rPr>
          <w:color w:val="000000" w:themeColor="text1"/>
        </w:rPr>
      </w:pPr>
      <w:bookmarkStart w:id="9" w:name="focus-surrender-41-30"/>
      <w:bookmarkEnd w:id="8"/>
      <w:r w:rsidRPr="00A17545">
        <w:rPr>
          <w:color w:val="000000" w:themeColor="text1"/>
        </w:rPr>
        <w:t>9) Focus + Surrender (41 → 30)</w:t>
      </w:r>
    </w:p>
    <w:p w:rsidR="00446851" w:rsidRPr="00A17545" w:rsidRDefault="00000000">
      <w:pPr>
        <w:numPr>
          <w:ilvl w:val="0"/>
          <w:numId w:val="10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Contract to ONE scene</w:t>
      </w:r>
      <w:r w:rsidRPr="00A17545">
        <w:rPr>
          <w:color w:val="000000" w:themeColor="text1"/>
        </w:rPr>
        <w:t xml:space="preserve"> (no more than 3 sentences):</w:t>
      </w:r>
    </w:p>
    <w:p w:rsidR="00446851" w:rsidRPr="00A17545" w:rsidRDefault="00000000">
      <w:pPr>
        <w:numPr>
          <w:ilvl w:val="0"/>
          <w:numId w:val="10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Release ritual</w:t>
      </w:r>
      <w:r w:rsidRPr="00A17545">
        <w:rPr>
          <w:color w:val="000000" w:themeColor="text1"/>
        </w:rPr>
        <w:t xml:space="preserve"> (choose one): ☐ breathe 10 cycles ☐ write + fold paper ☐ hand‑on‑heart ☐ short walk.</w:t>
      </w:r>
    </w:p>
    <w:p w:rsidR="00446851" w:rsidRPr="00A17545" w:rsidRDefault="00000000">
      <w:pPr>
        <w:numPr>
          <w:ilvl w:val="0"/>
          <w:numId w:val="10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Timing note:</w:t>
      </w:r>
      <w:r w:rsidRPr="00A17545">
        <w:rPr>
          <w:color w:val="000000" w:themeColor="text1"/>
        </w:rPr>
        <w:t xml:space="preserve"> Emotion introduces </w:t>
      </w:r>
      <w:r w:rsidRPr="00A17545">
        <w:rPr>
          <w:i/>
          <w:iCs/>
          <w:color w:val="000000" w:themeColor="text1"/>
        </w:rPr>
        <w:t>intervals</w:t>
      </w:r>
      <w:r w:rsidRPr="00A17545">
        <w:rPr>
          <w:color w:val="000000" w:themeColor="text1"/>
        </w:rPr>
        <w:t xml:space="preserve">. We don’t control </w:t>
      </w:r>
      <w:r w:rsidRPr="00A17545">
        <w:rPr>
          <w:b/>
          <w:bCs/>
          <w:color w:val="000000" w:themeColor="text1"/>
        </w:rPr>
        <w:t>when</w:t>
      </w:r>
      <w:r w:rsidRPr="00A17545">
        <w:rPr>
          <w:color w:val="000000" w:themeColor="text1"/>
        </w:rPr>
        <w:t xml:space="preserve"> or </w:t>
      </w:r>
      <w:r w:rsidRPr="00A17545">
        <w:rPr>
          <w:b/>
          <w:bCs/>
          <w:color w:val="000000" w:themeColor="text1"/>
        </w:rPr>
        <w:t>how</w:t>
      </w:r>
      <w:r w:rsidRPr="00A17545">
        <w:rPr>
          <w:color w:val="000000" w:themeColor="text1"/>
        </w:rPr>
        <w:t xml:space="preserve">. We steward </w:t>
      </w:r>
      <w:r w:rsidRPr="00A17545">
        <w:rPr>
          <w:b/>
          <w:bCs/>
          <w:color w:val="000000" w:themeColor="text1"/>
        </w:rPr>
        <w:t>who/what/why</w:t>
      </w:r>
      <w:r w:rsidRPr="00A17545">
        <w:rPr>
          <w:color w:val="000000" w:themeColor="text1"/>
        </w:rPr>
        <w:t>.</w:t>
      </w:r>
    </w:p>
    <w:p w:rsidR="00446851" w:rsidRPr="00A17545" w:rsidRDefault="00802941">
      <w:pPr>
        <w:rPr>
          <w:color w:val="000000" w:themeColor="text1"/>
        </w:rPr>
      </w:pPr>
      <w:r w:rsidRPr="00802941">
        <w:rPr>
          <w:noProof/>
          <w:color w:val="000000" w:themeColor="text1"/>
        </w:rPr>
        <w:pict>
          <v:rect id="_x0000_i1025" alt="" style="width:451.3pt;height:.05pt;mso-width-percent:0;mso-height-percent:0;mso-width-percent:0;mso-height-percent:0" o:hralign="center" o:hrstd="t" o:hr="t"/>
        </w:pict>
      </w:r>
    </w:p>
    <w:p w:rsidR="00A17545" w:rsidRDefault="00A17545">
      <w:pPr>
        <w:pStyle w:val="Heading2"/>
        <w:rPr>
          <w:color w:val="000000" w:themeColor="text1"/>
        </w:rPr>
      </w:pPr>
      <w:bookmarkStart w:id="10" w:name="daily-practice-tracker-7-days"/>
      <w:bookmarkEnd w:id="9"/>
    </w:p>
    <w:p w:rsidR="00A17545" w:rsidRDefault="00A17545">
      <w:pPr>
        <w:pStyle w:val="Heading2"/>
        <w:rPr>
          <w:color w:val="000000" w:themeColor="text1"/>
        </w:rPr>
      </w:pPr>
    </w:p>
    <w:p w:rsidR="00A17545" w:rsidRDefault="00A17545">
      <w:pPr>
        <w:pStyle w:val="Heading2"/>
        <w:rPr>
          <w:color w:val="000000" w:themeColor="text1"/>
        </w:rPr>
      </w:pPr>
    </w:p>
    <w:p w:rsidR="00446851" w:rsidRDefault="00000000">
      <w:pPr>
        <w:pStyle w:val="Heading2"/>
        <w:rPr>
          <w:color w:val="000000" w:themeColor="text1"/>
        </w:rPr>
      </w:pPr>
      <w:r w:rsidRPr="00A17545">
        <w:rPr>
          <w:color w:val="000000" w:themeColor="text1"/>
        </w:rPr>
        <w:t>10) Daily practice tracker (7 days)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17545" w:rsidTr="00A17545">
        <w:tc>
          <w:tcPr>
            <w:tcW w:w="1915" w:type="dxa"/>
            <w:shd w:val="clear" w:color="auto" w:fill="E8E8E8" w:themeFill="background2"/>
          </w:tcPr>
          <w:p w:rsidR="00A17545" w:rsidRPr="00A17545" w:rsidRDefault="00A17545" w:rsidP="00A17545">
            <w:pPr>
              <w:pStyle w:val="BodyText"/>
              <w:jc w:val="center"/>
              <w:rPr>
                <w:b/>
                <w:bCs/>
              </w:rPr>
            </w:pPr>
            <w:r w:rsidRPr="00A17545">
              <w:rPr>
                <w:b/>
                <w:bCs/>
                <w:color w:val="000000" w:themeColor="text1"/>
              </w:rPr>
              <w:t>Day</w:t>
            </w:r>
          </w:p>
        </w:tc>
        <w:tc>
          <w:tcPr>
            <w:tcW w:w="1915" w:type="dxa"/>
            <w:shd w:val="clear" w:color="auto" w:fill="E8E8E8" w:themeFill="background2"/>
          </w:tcPr>
          <w:p w:rsidR="00A17545" w:rsidRPr="00A17545" w:rsidRDefault="00A17545" w:rsidP="00A17545">
            <w:pPr>
              <w:pStyle w:val="BodyText"/>
              <w:jc w:val="center"/>
              <w:rPr>
                <w:b/>
                <w:bCs/>
              </w:rPr>
            </w:pPr>
            <w:r w:rsidRPr="00A17545">
              <w:rPr>
                <w:b/>
                <w:bCs/>
                <w:color w:val="000000" w:themeColor="text1"/>
              </w:rPr>
              <w:t>3‑min imagination</w:t>
            </w:r>
          </w:p>
        </w:tc>
        <w:tc>
          <w:tcPr>
            <w:tcW w:w="1915" w:type="dxa"/>
            <w:shd w:val="clear" w:color="auto" w:fill="E8E8E8" w:themeFill="background2"/>
          </w:tcPr>
          <w:p w:rsidR="00A17545" w:rsidRPr="00A17545" w:rsidRDefault="00A17545" w:rsidP="00A17545">
            <w:pPr>
              <w:pStyle w:val="BodyText"/>
              <w:jc w:val="center"/>
              <w:rPr>
                <w:b/>
                <w:bCs/>
              </w:rPr>
            </w:pPr>
            <w:r w:rsidRPr="00A17545">
              <w:rPr>
                <w:b/>
                <w:bCs/>
                <w:color w:val="000000" w:themeColor="text1"/>
              </w:rPr>
              <w:t>One ‘done‑state’ decision</w:t>
            </w:r>
          </w:p>
        </w:tc>
        <w:tc>
          <w:tcPr>
            <w:tcW w:w="1915" w:type="dxa"/>
            <w:shd w:val="clear" w:color="auto" w:fill="E8E8E8" w:themeFill="background2"/>
          </w:tcPr>
          <w:p w:rsidR="00A17545" w:rsidRPr="00A17545" w:rsidRDefault="00A17545" w:rsidP="00A17545">
            <w:pPr>
              <w:pStyle w:val="BodyText"/>
              <w:jc w:val="center"/>
              <w:rPr>
                <w:b/>
                <w:bCs/>
              </w:rPr>
            </w:pPr>
            <w:r w:rsidRPr="00A17545">
              <w:rPr>
                <w:b/>
                <w:bCs/>
                <w:color w:val="000000" w:themeColor="text1"/>
              </w:rPr>
              <w:t>Language check</w:t>
            </w:r>
          </w:p>
        </w:tc>
        <w:tc>
          <w:tcPr>
            <w:tcW w:w="1916" w:type="dxa"/>
            <w:shd w:val="clear" w:color="auto" w:fill="E8E8E8" w:themeFill="background2"/>
          </w:tcPr>
          <w:p w:rsidR="00A17545" w:rsidRPr="00A17545" w:rsidRDefault="00A17545" w:rsidP="00A17545">
            <w:pPr>
              <w:pStyle w:val="BodyText"/>
              <w:jc w:val="center"/>
              <w:rPr>
                <w:b/>
                <w:bCs/>
              </w:rPr>
            </w:pPr>
            <w:r w:rsidRPr="00A17545">
              <w:rPr>
                <w:b/>
                <w:bCs/>
                <w:color w:val="000000" w:themeColor="text1"/>
              </w:rPr>
              <w:t>Strategy &amp; Authority honored?</w:t>
            </w:r>
          </w:p>
        </w:tc>
      </w:tr>
      <w:tr w:rsidR="00A17545" w:rsidTr="00A17545">
        <w:tc>
          <w:tcPr>
            <w:tcW w:w="1915" w:type="dxa"/>
          </w:tcPr>
          <w:p w:rsidR="00A17545" w:rsidRDefault="00A17545" w:rsidP="00A17545">
            <w:pPr>
              <w:pStyle w:val="BodyText"/>
            </w:pPr>
            <w:r>
              <w:t>1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6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</w:tr>
      <w:tr w:rsidR="00A17545" w:rsidTr="00A17545">
        <w:tc>
          <w:tcPr>
            <w:tcW w:w="1915" w:type="dxa"/>
          </w:tcPr>
          <w:p w:rsidR="00A17545" w:rsidRDefault="00A17545" w:rsidP="00A17545">
            <w:pPr>
              <w:pStyle w:val="BodyText"/>
            </w:pPr>
            <w:r>
              <w:t>2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6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</w:tr>
      <w:tr w:rsidR="00A17545" w:rsidTr="00A17545">
        <w:tc>
          <w:tcPr>
            <w:tcW w:w="1915" w:type="dxa"/>
          </w:tcPr>
          <w:p w:rsidR="00A17545" w:rsidRDefault="00A17545" w:rsidP="00A17545">
            <w:pPr>
              <w:pStyle w:val="BodyText"/>
            </w:pPr>
            <w:r>
              <w:t>3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6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</w:tr>
      <w:tr w:rsidR="00A17545" w:rsidTr="00A17545">
        <w:tc>
          <w:tcPr>
            <w:tcW w:w="1915" w:type="dxa"/>
          </w:tcPr>
          <w:p w:rsidR="00A17545" w:rsidRDefault="00A17545" w:rsidP="00A17545">
            <w:pPr>
              <w:pStyle w:val="BodyText"/>
            </w:pPr>
            <w:r>
              <w:t>4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6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</w:tr>
      <w:tr w:rsidR="00A17545" w:rsidTr="00A17545">
        <w:tc>
          <w:tcPr>
            <w:tcW w:w="1915" w:type="dxa"/>
          </w:tcPr>
          <w:p w:rsidR="00A17545" w:rsidRDefault="00A17545" w:rsidP="00A17545">
            <w:pPr>
              <w:pStyle w:val="BodyText"/>
            </w:pPr>
            <w:r>
              <w:t>5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6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</w:tr>
      <w:tr w:rsidR="00A17545" w:rsidTr="00A17545">
        <w:tc>
          <w:tcPr>
            <w:tcW w:w="1915" w:type="dxa"/>
          </w:tcPr>
          <w:p w:rsidR="00A17545" w:rsidRDefault="00A17545" w:rsidP="00A17545">
            <w:pPr>
              <w:pStyle w:val="BodyText"/>
            </w:pPr>
            <w:r>
              <w:t>6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6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</w:tr>
      <w:tr w:rsidR="00A17545" w:rsidTr="00A17545">
        <w:tc>
          <w:tcPr>
            <w:tcW w:w="1915" w:type="dxa"/>
          </w:tcPr>
          <w:p w:rsidR="00A17545" w:rsidRDefault="00A17545" w:rsidP="00A17545">
            <w:pPr>
              <w:pStyle w:val="BodyText"/>
            </w:pPr>
            <w:r>
              <w:t>7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5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  <w:tc>
          <w:tcPr>
            <w:tcW w:w="1916" w:type="dxa"/>
          </w:tcPr>
          <w:p w:rsidR="00A17545" w:rsidRDefault="00A17545" w:rsidP="00A17545">
            <w:pPr>
              <w:pStyle w:val="BodyText"/>
              <w:jc w:val="center"/>
            </w:pPr>
            <w:r w:rsidRPr="00A17545">
              <w:rPr>
                <w:color w:val="000000" w:themeColor="text1"/>
              </w:rPr>
              <w:t>☐</w:t>
            </w:r>
          </w:p>
        </w:tc>
      </w:tr>
    </w:tbl>
    <w:p w:rsidR="00A17545" w:rsidRPr="00A17545" w:rsidRDefault="00A17545">
      <w:pPr>
        <w:rPr>
          <w:color w:val="000000" w:themeColor="text1"/>
        </w:rPr>
      </w:pPr>
    </w:p>
    <w:p w:rsidR="00446851" w:rsidRPr="00A17545" w:rsidRDefault="00000000">
      <w:pPr>
        <w:pStyle w:val="Heading2"/>
        <w:rPr>
          <w:color w:val="000000" w:themeColor="text1"/>
        </w:rPr>
      </w:pPr>
      <w:bookmarkStart w:id="11" w:name="open-g-undefined-g-notes-optional"/>
      <w:bookmarkEnd w:id="10"/>
      <w:r w:rsidRPr="00A17545">
        <w:rPr>
          <w:color w:val="000000" w:themeColor="text1"/>
        </w:rPr>
        <w:t>11) Open G / Undefined G notes (optional)</w:t>
      </w:r>
    </w:p>
    <w:p w:rsidR="00446851" w:rsidRPr="00A17545" w:rsidRDefault="00000000">
      <w:pPr>
        <w:pStyle w:val="Compact"/>
        <w:numPr>
          <w:ilvl w:val="0"/>
          <w:numId w:val="11"/>
        </w:numPr>
        <w:rPr>
          <w:color w:val="000000" w:themeColor="text1"/>
        </w:rPr>
      </w:pPr>
      <w:r w:rsidRPr="00A17545">
        <w:rPr>
          <w:color w:val="000000" w:themeColor="text1"/>
        </w:rPr>
        <w:t xml:space="preserve">Use your G Center like a </w:t>
      </w:r>
      <w:r w:rsidRPr="00A17545">
        <w:rPr>
          <w:b/>
          <w:bCs/>
          <w:color w:val="000000" w:themeColor="text1"/>
        </w:rPr>
        <w:t>beacon</w:t>
      </w:r>
      <w:r w:rsidRPr="00A17545">
        <w:rPr>
          <w:color w:val="000000" w:themeColor="text1"/>
        </w:rPr>
        <w:t>: “Right place, right people?” Let cognition + body say yes/no as you approach.</w:t>
      </w:r>
    </w:p>
    <w:p w:rsidR="00446851" w:rsidRPr="00A17545" w:rsidRDefault="00000000">
      <w:pPr>
        <w:pStyle w:val="Compact"/>
        <w:numPr>
          <w:ilvl w:val="0"/>
          <w:numId w:val="11"/>
        </w:numPr>
        <w:rPr>
          <w:color w:val="000000" w:themeColor="text1"/>
        </w:rPr>
      </w:pPr>
      <w:r w:rsidRPr="00A17545">
        <w:rPr>
          <w:color w:val="000000" w:themeColor="text1"/>
        </w:rPr>
        <w:t xml:space="preserve">Let </w:t>
      </w:r>
      <w:r w:rsidRPr="00A17545">
        <w:rPr>
          <w:i/>
          <w:iCs/>
          <w:color w:val="000000" w:themeColor="text1"/>
        </w:rPr>
        <w:t>environment</w:t>
      </w:r>
      <w:r w:rsidRPr="00A17545">
        <w:rPr>
          <w:color w:val="000000" w:themeColor="text1"/>
        </w:rPr>
        <w:t xml:space="preserve"> and </w:t>
      </w:r>
      <w:r w:rsidRPr="00A17545">
        <w:rPr>
          <w:i/>
          <w:iCs/>
          <w:color w:val="000000" w:themeColor="text1"/>
        </w:rPr>
        <w:t>people</w:t>
      </w:r>
      <w:r w:rsidRPr="00A17545">
        <w:rPr>
          <w:color w:val="000000" w:themeColor="text1"/>
        </w:rPr>
        <w:t xml:space="preserve"> inform your direction; don’t force an identity costume.</w:t>
      </w:r>
    </w:p>
    <w:p w:rsidR="00A17545" w:rsidRPr="00A17545" w:rsidRDefault="00A17545">
      <w:pPr>
        <w:rPr>
          <w:color w:val="000000" w:themeColor="text1"/>
        </w:rPr>
      </w:pPr>
    </w:p>
    <w:p w:rsidR="00446851" w:rsidRPr="00A17545" w:rsidRDefault="00000000">
      <w:pPr>
        <w:pStyle w:val="Heading2"/>
        <w:rPr>
          <w:color w:val="000000" w:themeColor="text1"/>
        </w:rPr>
      </w:pPr>
      <w:bookmarkStart w:id="12" w:name="tribe-vs.-self-boundary-check"/>
      <w:bookmarkEnd w:id="11"/>
      <w:r w:rsidRPr="00A17545">
        <w:rPr>
          <w:color w:val="000000" w:themeColor="text1"/>
        </w:rPr>
        <w:t>12) Tribe vs. Self (boundary check)</w:t>
      </w:r>
    </w:p>
    <w:p w:rsidR="00446851" w:rsidRPr="00A17545" w:rsidRDefault="00000000">
      <w:pPr>
        <w:pStyle w:val="Heading2"/>
        <w:rPr>
          <w:color w:val="000000" w:themeColor="text1"/>
        </w:rPr>
      </w:pPr>
      <w:bookmarkStart w:id="13" w:name="Xab19d2b29ee8eb3576e93edd89e9f6024be9145"/>
      <w:bookmarkEnd w:id="12"/>
      <w:r w:rsidRPr="00A17545">
        <w:rPr>
          <w:color w:val="000000" w:themeColor="text1"/>
        </w:rPr>
        <w:t>List the tribal norms that might push conformity over differentiation (family, workplace, industry):</w:t>
      </w:r>
    </w:p>
    <w:p w:rsidR="00446851" w:rsidRPr="00A17545" w:rsidRDefault="00000000">
      <w:pPr>
        <w:pStyle w:val="Compact"/>
        <w:numPr>
          <w:ilvl w:val="0"/>
          <w:numId w:val="12"/>
        </w:numPr>
        <w:rPr>
          <w:color w:val="000000" w:themeColor="text1"/>
        </w:rPr>
      </w:pPr>
      <w:r w:rsidRPr="00A17545">
        <w:rPr>
          <w:b/>
          <w:bCs/>
          <w:color w:val="000000" w:themeColor="text1"/>
        </w:rPr>
        <w:t>My boundary this week:</w:t>
      </w:r>
    </w:p>
    <w:p w:rsidR="00A17545" w:rsidRPr="00A17545" w:rsidRDefault="00A17545">
      <w:pPr>
        <w:rPr>
          <w:color w:val="000000" w:themeColor="text1"/>
        </w:rPr>
      </w:pPr>
    </w:p>
    <w:p w:rsidR="00A17545" w:rsidRDefault="00A17545">
      <w:pPr>
        <w:pStyle w:val="Heading2"/>
        <w:rPr>
          <w:color w:val="000000" w:themeColor="text1"/>
        </w:rPr>
      </w:pPr>
      <w:bookmarkStart w:id="14" w:name="microwins-log-evidence-builder"/>
      <w:bookmarkEnd w:id="13"/>
    </w:p>
    <w:p w:rsidR="00446851" w:rsidRPr="00A17545" w:rsidRDefault="00000000">
      <w:pPr>
        <w:pStyle w:val="Heading2"/>
        <w:rPr>
          <w:color w:val="000000" w:themeColor="text1"/>
        </w:rPr>
      </w:pPr>
      <w:r w:rsidRPr="00A17545">
        <w:rPr>
          <w:color w:val="000000" w:themeColor="text1"/>
        </w:rPr>
        <w:t>13) Micro‑wins log (evidence builder)</w:t>
      </w:r>
    </w:p>
    <w:p w:rsidR="00446851" w:rsidRPr="00A17545" w:rsidRDefault="00000000">
      <w:pPr>
        <w:pStyle w:val="Compact"/>
        <w:numPr>
          <w:ilvl w:val="0"/>
          <w:numId w:val="13"/>
        </w:numPr>
        <w:rPr>
          <w:color w:val="000000" w:themeColor="text1"/>
        </w:rPr>
      </w:pPr>
      <w:r w:rsidRPr="00A17545">
        <w:rPr>
          <w:color w:val="000000" w:themeColor="text1"/>
        </w:rPr>
        <w:t>Today I noticed a lighter word/choice:</w:t>
      </w:r>
    </w:p>
    <w:p w:rsidR="00446851" w:rsidRPr="00A17545" w:rsidRDefault="00000000">
      <w:pPr>
        <w:pStyle w:val="Compact"/>
        <w:numPr>
          <w:ilvl w:val="0"/>
          <w:numId w:val="13"/>
        </w:numPr>
        <w:rPr>
          <w:color w:val="000000" w:themeColor="text1"/>
        </w:rPr>
      </w:pPr>
      <w:r w:rsidRPr="00A17545">
        <w:rPr>
          <w:color w:val="000000" w:themeColor="text1"/>
        </w:rPr>
        <w:t>Someone responded to my new frequency by:</w:t>
      </w:r>
    </w:p>
    <w:p w:rsidR="00446851" w:rsidRPr="00A17545" w:rsidRDefault="00000000">
      <w:pPr>
        <w:pStyle w:val="Compact"/>
        <w:numPr>
          <w:ilvl w:val="0"/>
          <w:numId w:val="13"/>
        </w:numPr>
        <w:rPr>
          <w:color w:val="000000" w:themeColor="text1"/>
        </w:rPr>
      </w:pPr>
      <w:r w:rsidRPr="00A17545">
        <w:rPr>
          <w:color w:val="000000" w:themeColor="text1"/>
        </w:rPr>
        <w:t>Proof I’m already becoming this person:</w:t>
      </w:r>
    </w:p>
    <w:p w:rsidR="00446851" w:rsidRPr="00A17545" w:rsidRDefault="00446851">
      <w:pPr>
        <w:rPr>
          <w:color w:val="000000" w:themeColor="text1"/>
        </w:rPr>
      </w:pPr>
    </w:p>
    <w:p w:rsidR="00A17545" w:rsidRDefault="00A17545">
      <w:pPr>
        <w:pStyle w:val="Heading2"/>
        <w:rPr>
          <w:color w:val="000000" w:themeColor="text1"/>
        </w:rPr>
      </w:pPr>
      <w:bookmarkStart w:id="15" w:name="parking-lot-ideas-for-later"/>
      <w:bookmarkEnd w:id="14"/>
    </w:p>
    <w:p w:rsidR="00446851" w:rsidRPr="00A17545" w:rsidRDefault="00000000">
      <w:pPr>
        <w:pStyle w:val="Heading2"/>
        <w:rPr>
          <w:color w:val="000000" w:themeColor="text1"/>
        </w:rPr>
      </w:pPr>
      <w:r w:rsidRPr="00A17545">
        <w:rPr>
          <w:color w:val="000000" w:themeColor="text1"/>
        </w:rPr>
        <w:t>14) Parking lot (ideas for later)</w:t>
      </w:r>
    </w:p>
    <w:p w:rsidR="00446851" w:rsidRPr="00A17545" w:rsidRDefault="00446851">
      <w:pPr>
        <w:rPr>
          <w:color w:val="000000" w:themeColor="text1"/>
        </w:rPr>
      </w:pPr>
    </w:p>
    <w:p w:rsidR="00A17545" w:rsidRDefault="00A17545">
      <w:pPr>
        <w:pStyle w:val="Heading3"/>
        <w:rPr>
          <w:color w:val="000000" w:themeColor="text1"/>
        </w:rPr>
      </w:pPr>
      <w:bookmarkStart w:id="16" w:name="bring-to-day-2-transmutation-of-energy"/>
    </w:p>
    <w:p w:rsidR="00A17545" w:rsidRDefault="00A17545">
      <w:pPr>
        <w:pStyle w:val="Heading3"/>
        <w:rPr>
          <w:color w:val="000000" w:themeColor="text1"/>
        </w:rPr>
      </w:pPr>
    </w:p>
    <w:p w:rsidR="00A17545" w:rsidRDefault="00A17545">
      <w:pPr>
        <w:pStyle w:val="Heading3"/>
        <w:rPr>
          <w:color w:val="000000" w:themeColor="text1"/>
        </w:rPr>
      </w:pPr>
    </w:p>
    <w:p w:rsidR="00A17545" w:rsidRDefault="00A17545">
      <w:pPr>
        <w:pStyle w:val="Heading3"/>
        <w:rPr>
          <w:color w:val="000000" w:themeColor="text1"/>
        </w:rPr>
      </w:pPr>
    </w:p>
    <w:p w:rsidR="00A17545" w:rsidRDefault="00A17545">
      <w:pPr>
        <w:pStyle w:val="Heading3"/>
        <w:rPr>
          <w:color w:val="000000" w:themeColor="text1"/>
        </w:rPr>
      </w:pPr>
    </w:p>
    <w:p w:rsidR="00A17545" w:rsidRDefault="00A17545">
      <w:pPr>
        <w:pStyle w:val="Heading3"/>
        <w:rPr>
          <w:color w:val="000000" w:themeColor="text1"/>
        </w:rPr>
      </w:pPr>
    </w:p>
    <w:p w:rsidR="00A17545" w:rsidRDefault="00A17545">
      <w:pPr>
        <w:pStyle w:val="Heading3"/>
        <w:rPr>
          <w:color w:val="000000" w:themeColor="text1"/>
        </w:rPr>
      </w:pPr>
    </w:p>
    <w:p w:rsidR="00A17545" w:rsidRDefault="00A17545">
      <w:pPr>
        <w:pStyle w:val="Heading3"/>
        <w:rPr>
          <w:color w:val="000000" w:themeColor="text1"/>
        </w:rPr>
      </w:pPr>
    </w:p>
    <w:p w:rsidR="00A17545" w:rsidRDefault="00A17545">
      <w:pPr>
        <w:pStyle w:val="Heading3"/>
        <w:rPr>
          <w:color w:val="000000" w:themeColor="text1"/>
        </w:rPr>
      </w:pPr>
    </w:p>
    <w:p w:rsidR="00A17545" w:rsidRDefault="00A17545">
      <w:pPr>
        <w:pStyle w:val="Heading3"/>
        <w:rPr>
          <w:color w:val="000000" w:themeColor="text1"/>
        </w:rPr>
      </w:pPr>
    </w:p>
    <w:p w:rsidR="00A17545" w:rsidRDefault="00A17545">
      <w:pPr>
        <w:pStyle w:val="Heading3"/>
        <w:rPr>
          <w:color w:val="000000" w:themeColor="text1"/>
        </w:rPr>
      </w:pPr>
    </w:p>
    <w:p w:rsidR="00A17545" w:rsidRDefault="00A17545">
      <w:pPr>
        <w:pStyle w:val="Heading3"/>
        <w:rPr>
          <w:color w:val="000000" w:themeColor="text1"/>
        </w:rPr>
      </w:pPr>
    </w:p>
    <w:p w:rsidR="00A17545" w:rsidRDefault="00A17545">
      <w:pPr>
        <w:pStyle w:val="Heading3"/>
        <w:rPr>
          <w:color w:val="000000" w:themeColor="text1"/>
        </w:rPr>
      </w:pPr>
    </w:p>
    <w:p w:rsidR="00A17545" w:rsidRDefault="00A17545">
      <w:pPr>
        <w:pStyle w:val="Heading3"/>
        <w:rPr>
          <w:color w:val="000000" w:themeColor="text1"/>
        </w:rPr>
      </w:pPr>
    </w:p>
    <w:p w:rsidR="00A17545" w:rsidRDefault="00A17545">
      <w:pPr>
        <w:pStyle w:val="Heading3"/>
        <w:rPr>
          <w:color w:val="000000" w:themeColor="text1"/>
        </w:rPr>
      </w:pPr>
    </w:p>
    <w:p w:rsidR="00A17545" w:rsidRDefault="00A17545">
      <w:pPr>
        <w:pStyle w:val="Heading3"/>
        <w:rPr>
          <w:color w:val="000000" w:themeColor="text1"/>
        </w:rPr>
      </w:pPr>
    </w:p>
    <w:p w:rsidR="00A17545" w:rsidRDefault="00A17545">
      <w:pPr>
        <w:pStyle w:val="Heading3"/>
        <w:rPr>
          <w:color w:val="000000" w:themeColor="text1"/>
        </w:rPr>
      </w:pPr>
    </w:p>
    <w:p w:rsidR="00A17545" w:rsidRDefault="00A17545">
      <w:pPr>
        <w:pStyle w:val="Heading3"/>
        <w:rPr>
          <w:color w:val="000000" w:themeColor="text1"/>
        </w:rPr>
      </w:pPr>
    </w:p>
    <w:p w:rsidR="00A17545" w:rsidRDefault="00A17545">
      <w:pPr>
        <w:pStyle w:val="Heading3"/>
        <w:rPr>
          <w:color w:val="000000" w:themeColor="text1"/>
        </w:rPr>
      </w:pPr>
    </w:p>
    <w:p w:rsidR="00446851" w:rsidRPr="00A17545" w:rsidRDefault="00000000">
      <w:pPr>
        <w:pStyle w:val="Heading3"/>
        <w:rPr>
          <w:color w:val="000000" w:themeColor="text1"/>
        </w:rPr>
      </w:pPr>
      <w:r w:rsidRPr="00A17545">
        <w:rPr>
          <w:color w:val="000000" w:themeColor="text1"/>
        </w:rPr>
        <w:t>Bring to Day 2: Transmutation of Energy</w:t>
      </w:r>
    </w:p>
    <w:p w:rsidR="00446851" w:rsidRPr="00A17545" w:rsidRDefault="00000000">
      <w:pPr>
        <w:pStyle w:val="Compact"/>
        <w:numPr>
          <w:ilvl w:val="0"/>
          <w:numId w:val="15"/>
        </w:numPr>
        <w:rPr>
          <w:color w:val="000000" w:themeColor="text1"/>
        </w:rPr>
      </w:pPr>
      <w:r w:rsidRPr="00A17545">
        <w:rPr>
          <w:color w:val="000000" w:themeColor="text1"/>
        </w:rPr>
        <w:t xml:space="preserve">Your </w:t>
      </w:r>
      <w:r w:rsidRPr="00A17545">
        <w:rPr>
          <w:b/>
          <w:bCs/>
          <w:color w:val="000000" w:themeColor="text1"/>
        </w:rPr>
        <w:t>one</w:t>
      </w:r>
      <w:r w:rsidRPr="00A17545">
        <w:rPr>
          <w:color w:val="000000" w:themeColor="text1"/>
        </w:rPr>
        <w:t xml:space="preserve"> contracted scene</w:t>
      </w:r>
    </w:p>
    <w:p w:rsidR="00446851" w:rsidRPr="00A17545" w:rsidRDefault="00000000">
      <w:pPr>
        <w:pStyle w:val="Compact"/>
        <w:numPr>
          <w:ilvl w:val="0"/>
          <w:numId w:val="15"/>
        </w:numPr>
        <w:rPr>
          <w:color w:val="000000" w:themeColor="text1"/>
        </w:rPr>
      </w:pPr>
      <w:r w:rsidRPr="00A17545">
        <w:rPr>
          <w:color w:val="000000" w:themeColor="text1"/>
        </w:rPr>
        <w:t>1–2 rewritten beliefs</w:t>
      </w:r>
    </w:p>
    <w:p w:rsidR="00446851" w:rsidRPr="00A17545" w:rsidRDefault="00000000">
      <w:pPr>
        <w:pStyle w:val="Compact"/>
        <w:numPr>
          <w:ilvl w:val="0"/>
          <w:numId w:val="15"/>
        </w:numPr>
        <w:rPr>
          <w:color w:val="000000" w:themeColor="text1"/>
        </w:rPr>
      </w:pPr>
      <w:r w:rsidRPr="00A17545">
        <w:rPr>
          <w:color w:val="000000" w:themeColor="text1"/>
        </w:rPr>
        <w:t>A decision you ran through Strategy &amp; Authority</w:t>
      </w:r>
    </w:p>
    <w:p w:rsidR="00446851" w:rsidRPr="00A17545" w:rsidRDefault="00000000">
      <w:pPr>
        <w:pStyle w:val="BlockText"/>
        <w:rPr>
          <w:color w:val="000000" w:themeColor="text1"/>
        </w:rPr>
      </w:pPr>
      <w:r w:rsidRPr="00A17545">
        <w:rPr>
          <w:color w:val="000000" w:themeColor="text1"/>
        </w:rPr>
        <w:t xml:space="preserve">Remember: </w:t>
      </w:r>
      <w:r w:rsidRPr="00A17545">
        <w:rPr>
          <w:b/>
          <w:bCs/>
          <w:color w:val="000000" w:themeColor="text1"/>
        </w:rPr>
        <w:t>Who</w:t>
      </w:r>
      <w:r w:rsidRPr="00A17545">
        <w:rPr>
          <w:color w:val="000000" w:themeColor="text1"/>
        </w:rPr>
        <w:t xml:space="preserve"> you’re being + </w:t>
      </w:r>
      <w:r w:rsidRPr="00A17545">
        <w:rPr>
          <w:b/>
          <w:bCs/>
          <w:color w:val="000000" w:themeColor="text1"/>
        </w:rPr>
        <w:t>what</w:t>
      </w:r>
      <w:r w:rsidRPr="00A17545">
        <w:rPr>
          <w:color w:val="000000" w:themeColor="text1"/>
        </w:rPr>
        <w:t xml:space="preserve"> you do + </w:t>
      </w:r>
      <w:r w:rsidRPr="00A17545">
        <w:rPr>
          <w:b/>
          <w:bCs/>
          <w:color w:val="000000" w:themeColor="text1"/>
        </w:rPr>
        <w:t>why</w:t>
      </w:r>
      <w:r w:rsidRPr="00A17545">
        <w:rPr>
          <w:color w:val="000000" w:themeColor="text1"/>
        </w:rPr>
        <w:t xml:space="preserve"> you do it are your job. </w:t>
      </w:r>
      <w:r w:rsidRPr="00A17545">
        <w:rPr>
          <w:b/>
          <w:bCs/>
          <w:color w:val="000000" w:themeColor="text1"/>
        </w:rPr>
        <w:t>How/when</w:t>
      </w:r>
      <w:r w:rsidRPr="00A17545">
        <w:rPr>
          <w:color w:val="000000" w:themeColor="text1"/>
        </w:rPr>
        <w:t xml:space="preserve"> is not.</w:t>
      </w:r>
      <w:bookmarkEnd w:id="0"/>
      <w:bookmarkEnd w:id="15"/>
      <w:bookmarkEnd w:id="16"/>
    </w:p>
    <w:sectPr w:rsidR="00446851" w:rsidRPr="00A17545">
      <w:headerReference w:type="default" r:id="rId8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2941" w:rsidRDefault="00802941" w:rsidP="00A17545">
      <w:pPr>
        <w:spacing w:after="0"/>
      </w:pPr>
      <w:r>
        <w:separator/>
      </w:r>
    </w:p>
  </w:endnote>
  <w:endnote w:type="continuationSeparator" w:id="0">
    <w:p w:rsidR="00802941" w:rsidRDefault="00802941" w:rsidP="00A175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2941" w:rsidRDefault="00802941" w:rsidP="00A17545">
      <w:pPr>
        <w:spacing w:after="0"/>
      </w:pPr>
      <w:r>
        <w:separator/>
      </w:r>
    </w:p>
  </w:footnote>
  <w:footnote w:type="continuationSeparator" w:id="0">
    <w:p w:rsidR="00802941" w:rsidRDefault="00802941" w:rsidP="00A175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7545" w:rsidRDefault="00A17545">
    <w:pPr>
      <w:pStyle w:val="Header"/>
    </w:pPr>
    <w:r>
      <w:rPr>
        <w:noProof/>
      </w:rPr>
      <w:drawing>
        <wp:inline distT="0" distB="0" distL="0" distR="0">
          <wp:extent cx="2311400" cy="571500"/>
          <wp:effectExtent l="0" t="0" r="0" b="0"/>
          <wp:docPr id="5571827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182791" name="Picture 557182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AE36F9F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596272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A992"/>
    <w:multiLevelType w:val="multilevel"/>
    <w:tmpl w:val="50CE5D6C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 w16cid:durableId="1958440005">
    <w:abstractNumId w:val="0"/>
  </w:num>
  <w:num w:numId="2" w16cid:durableId="1695422956">
    <w:abstractNumId w:val="1"/>
  </w:num>
  <w:num w:numId="3" w16cid:durableId="1441995870">
    <w:abstractNumId w:val="1"/>
  </w:num>
  <w:num w:numId="4" w16cid:durableId="1642226862">
    <w:abstractNumId w:val="2"/>
  </w:num>
  <w:num w:numId="5" w16cid:durableId="762843061">
    <w:abstractNumId w:val="2"/>
  </w:num>
  <w:num w:numId="6" w16cid:durableId="1179588377">
    <w:abstractNumId w:val="2"/>
  </w:num>
  <w:num w:numId="7" w16cid:durableId="1543202071">
    <w:abstractNumId w:val="2"/>
  </w:num>
  <w:num w:numId="8" w16cid:durableId="1716656103">
    <w:abstractNumId w:val="2"/>
  </w:num>
  <w:num w:numId="9" w16cid:durableId="593242470">
    <w:abstractNumId w:val="2"/>
  </w:num>
  <w:num w:numId="10" w16cid:durableId="2028095057">
    <w:abstractNumId w:val="1"/>
  </w:num>
  <w:num w:numId="11" w16cid:durableId="1401365743">
    <w:abstractNumId w:val="1"/>
  </w:num>
  <w:num w:numId="12" w16cid:durableId="1318025731">
    <w:abstractNumId w:val="1"/>
  </w:num>
  <w:num w:numId="13" w16cid:durableId="1482305224">
    <w:abstractNumId w:val="1"/>
  </w:num>
  <w:num w:numId="14" w16cid:durableId="733547324">
    <w:abstractNumId w:val="1"/>
  </w:num>
  <w:num w:numId="15" w16cid:durableId="17658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851"/>
    <w:rsid w:val="00446851"/>
    <w:rsid w:val="00802941"/>
    <w:rsid w:val="00A1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0ABC"/>
  <w15:docId w15:val="{0487988F-FC45-FA41-9B92-EF40149B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A1754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17545"/>
  </w:style>
  <w:style w:type="paragraph" w:styleId="Footer">
    <w:name w:val="footer"/>
    <w:basedOn w:val="Normal"/>
    <w:link w:val="FooterChar"/>
    <w:rsid w:val="00A1754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17545"/>
  </w:style>
  <w:style w:type="table" w:styleId="TableGrid">
    <w:name w:val="Table Grid"/>
    <w:basedOn w:val="TableNormal"/>
    <w:rsid w:val="00A1754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Gytis Ceglys</cp:lastModifiedBy>
  <cp:revision>2</cp:revision>
  <dcterms:created xsi:type="dcterms:W3CDTF">2025-09-21T17:17:00Z</dcterms:created>
  <dcterms:modified xsi:type="dcterms:W3CDTF">2025-09-21T17:23:00Z</dcterms:modified>
</cp:coreProperties>
</file>